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4.jpg" ContentType="image/jpeg"/>
  <Override PartName="/word/media/rId23.jpg" ContentType="image/jpeg"/>
  <Override PartName="/word/media/rId28.png" ContentType="image/png"/>
  <Override PartName="/word/media/rId40.jpg" ContentType="image/jpeg"/>
  <Override PartName="/word/media/rId38.jpg" ContentType="image/jpeg"/>
  <Override PartName="/word/media/rId34.jpg" ContentType="image/jpeg"/>
  <Override PartName="/word/media/rId31.jpg" ContentType="image/jpeg"/>
  <Override PartName="/word/media/rId27.jpg" ContentType="image/jpeg"/>
  <Override PartName="/word/media/rId35.jpg" ContentType="image/jpe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and</w:t>
      </w:r>
      <w:r>
        <w:t xml:space="preserve"> </w:t>
      </w:r>
      <w:r>
        <w:t xml:space="preserve">cultural</w:t>
      </w:r>
      <w:r>
        <w:t xml:space="preserve"> </w:t>
      </w:r>
      <w:r>
        <w:t xml:space="preserve">practices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11</w:t>
      </w:r>
      <w:r>
        <w:t xml:space="preserve"> </w:t>
      </w:r>
      <w:r>
        <w:t xml:space="preserve">December,</w:t>
      </w:r>
      <w:r>
        <w:t xml:space="preserve"> </w:t>
      </w:r>
      <w:r>
        <w:t xml:space="preserve">2019</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a</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colonisation,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(1400 AD-1900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paleolithic (c. 27,000 BP- 5000BP), Neolithic (c. 6500- 2000BP), and Iron age (c. 2000- 400BP) with slightly regional differences in onset of each period and variations in style of artifacts and assemblages</w:t>
      </w:r>
      <w:r>
        <w:t xml:space="preserve"> </w:t>
      </w:r>
      <w:r>
        <w:t xml:space="preserve">(Liu 2011; Chen 2017)</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Keelung in 1626, and Fort San Domingo in 1629 at Tamsui.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female shamans in the tribe would use carnelian beads as magical items in ritual healing practices</w:t>
      </w:r>
      <w:r>
        <w:t xml:space="preserve"> </w:t>
      </w:r>
      <w:r>
        <w:t xml:space="preserve">(Borao 2009: 122–51)</w:t>
      </w:r>
      <w:r>
        <w:t xml:space="preserve">. Records of an indigenous funeral document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w:t>
      </w:r>
      <w:r>
        <w:t xml:space="preserve"> </w:t>
      </w:r>
      <w:r>
        <w:t xml:space="preserve">(Andrade 2007, ch. 9; Kang 2016, ch. 4)</w:t>
      </w:r>
      <w:r>
        <w:t xml:space="preserve">. The Dutch provided beads and other goods based on negotations with indigenous communities to secure alliances in the annual ceremony or during travelling</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colonisation, an academic field survey for plains indigenous groups reported that fish-shaped metal necklaces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specialised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to a lack of archaeological evidence of beadmaking waste, metalworking, or accessible local raw materials. The chemical composition of glass beads from this region shows a high content of lead and, toghether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Heading1"/>
      </w:pPr>
      <w:bookmarkStart w:id="22" w:name="X278aadcbb2ffc578d44cc4e94ff4377a0a2c6cb"/>
      <w:r>
        <w:t xml:space="preserve">Excavations at Kiwulan in northeastern Taiwan</w:t>
      </w:r>
      <w:bookmarkEnd w:id="22"/>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bmarwick/Desktop/kwl-ornaments/analysis/figures/kiwulan-location-map.jpg" id="0" name="Picture"/>
                    <pic:cNvPicPr>
                      <a:picLocks noChangeArrowheads="1" noChangeAspect="1"/>
                    </pic:cNvPicPr>
                  </pic:nvPicPr>
                  <pic:blipFill>
                    <a:blip r:embed="rId23"/>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334000" cy="5016101"/>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bmarwick/Desktop/kwl-ornaments/analysis/figures/KWL-excavation-map.jpg" id="0" name="Picture"/>
                    <pic:cNvPicPr>
                      <a:picLocks noChangeArrowheads="1" noChangeAspect="1"/>
                    </pic:cNvPicPr>
                  </pic:nvPicPr>
                  <pic:blipFill>
                    <a:blip r:embed="rId24"/>
                    <a:stretch>
                      <a:fillRect/>
                    </a:stretch>
                  </pic:blipFill>
                  <pic:spPr bwMode="auto">
                    <a:xfrm>
                      <a:off x="0" y="0"/>
                      <a:ext cx="5334000" cy="5016101"/>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Information about Kiwulan (Figure</w:t>
      </w:r>
      <w:r>
        <w:t xml:space="preserve"> </w:t>
      </w:r>
      <w:r>
        <w:t xml:space="preserve">1</w:t>
      </w:r>
      <w:r>
        <w:t xml:space="preserve">) comes from a rescue archaeology project that during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artefacts, burials, middens, post-holes, wooden pillars, and stone structures, all of which indicates it was a long-term settlement. Artefact locations were recorded to the 2 x 2 m sub-square they were recovered in; they lack individual point provenance. Based on the continuity of deposition and the frequency of artifacts, the center of the site is the open area consisting of A and D sections, which is also the study area where our samples selected from.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 (Figure</w:t>
      </w:r>
      <w:r>
        <w:t xml:space="preserve"> </w:t>
      </w:r>
      <w:r>
        <w:t xml:space="preserve">2</w:t>
      </w:r>
      <w:r>
        <w:t xml:space="preserve">).</w:t>
      </w:r>
    </w:p>
    <w:p>
      <w:pPr>
        <w:pStyle w:val="BodyText"/>
      </w:pPr>
      <w:r>
        <w:t xml:space="preserve">The chronology of Kiwulan can be divided into two phases represented by a upper component (1400-1900 AD, 600-100 BP) and a lower component (700-1200 AD, 1200-800 BP) separated by a sterile deposit spanning c. 150 years. These component divisions are based on the differences in the colour and texture of the deposit. The interpration of the sterile deposit is still under debate, with pollen analysis suggesting dry weather leading to site abandonment</w:t>
      </w:r>
      <w:r>
        <w:t xml:space="preserve"> </w:t>
      </w:r>
      <w:r>
        <w:t xml:space="preserve">(Lin 2015; 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componant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However, we found some ambiguities in the previous chronology, so to help answer our research question, we re-examined the upper component to devise a new chronology to assign artefacts to the pre-European, European, and the Chinese periods.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and are frequently found in European shipwrecks from this period as vessels for transporting water, wine or other liquids on long voyages. The earliest evidence oflight gray glazed jars in this region has been found among the cargo of the Spanish shipwreck</w:t>
      </w:r>
      <w:r>
        <w:t xml:space="preserve"> </w:t>
      </w:r>
      <w:r>
        <w:rPr>
          <w:i/>
        </w:rPr>
        <w:t xml:space="preserve">San Diego</w:t>
      </w:r>
      <w:r>
        <w:t xml:space="preserve">, which sunk in 1600 AD</w:t>
      </w:r>
      <w:r>
        <w:t xml:space="preserve"> </w:t>
      </w:r>
      <w:r>
        <w:t xml:space="preserve">(Hsieh 2009;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bought them to Kiwulan: they might have been directly imported by Europeans, by Chinese merchants, or by indigenous groups via regional networks in north Taiwan. In any case, the high volume of ceramics transported by Europeans, and their high mobility in shipping trade played an important role in introducing foreign jars to Taiwan. 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pipes and a few imported pipes were found at Kiwulan. Smoking is likely to have been introduced by Europeans, and we found that the presence of pipes in the archaeological record here is consistent with distributions of glazed jar fragments, which are far more numerous and widespread across the site (n = 1685).</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drawing>
          <wp:inline>
            <wp:extent cx="5334000" cy="426720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 title="" id="1" name="Picture"/>
            <a:graphic>
              <a:graphicData uri="http://schemas.openxmlformats.org/drawingml/2006/picture">
                <pic:pic>
                  <pic:nvPicPr>
                    <pic:cNvPr descr="../figures/C14-data-1.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The codes in the context column refer to the excavator’s feature labels, cf. ADD CITATION TO THE REPORT HERE</w:t>
      </w:r>
    </w:p>
    <w:tbl>
      <w:tblPr>
        <w:tblStyle w:val="Table"/>
        <w:tblW w:type="pct" w:w="0.0"/>
        <w:tblLook w:firstRow="1"/>
        <w:tblCaption w:val="Table 1: Radiocarbon ages from charcoal samples excavated from Kiwulan (Chen 2007), calibrated using IntCal13 Atmospheric curve. The codes in the context column refer to the excavator’s feature labels, cf. ADD CITATION TO THE REPORT HERE"/>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Above mean sea level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4-430</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11-484</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16-512</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33-530</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153-451</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76-545</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314-483</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344-648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516-675</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504-710</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562-951</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715-917</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707-952</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681-1051</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795-1055</w:t>
            </w:r>
          </w:p>
        </w:tc>
        <w:tc>
          <w:p>
            <w:pPr>
              <w:pStyle w:val="Compact"/>
              <w:jc w:val="left"/>
            </w:pPr>
            <w:r>
              <w:t xml:space="preserve">sterile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768-1152</w:t>
            </w:r>
          </w:p>
        </w:tc>
        <w:tc>
          <w:p>
            <w:pPr>
              <w:pStyle w:val="Compact"/>
              <w:jc w:val="left"/>
            </w:pPr>
            <w:r>
              <w:t xml:space="preserve">artefact-bearing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899-1051</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798-1223</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957-1255</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968-1263</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1078-1262</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1291-1524</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1562-2065</w:t>
            </w:r>
          </w:p>
        </w:tc>
        <w:tc>
          <w:p>
            <w:pPr>
              <w:pStyle w:val="Compact"/>
              <w:jc w:val="left"/>
            </w:pPr>
            <w:r>
              <w:t xml:space="preserve">artefact-bearing deposit</w:t>
            </w:r>
          </w:p>
        </w:tc>
      </w:tr>
    </w:tbl>
    <w:p>
      <w:pPr>
        <w:pStyle w:val="Heading1"/>
      </w:pPr>
      <w:bookmarkStart w:id="26" w:name="the-personal-ornaments"/>
      <w:r>
        <w:t xml:space="preserve">The personal ornaments</w:t>
      </w:r>
      <w:bookmarkEnd w:id="26"/>
    </w:p>
    <w:p>
      <w:pPr>
        <w:pStyle w:val="CaptionedFigure"/>
      </w:pPr>
      <w:r>
        <w:drawing>
          <wp:inline>
            <wp:extent cx="5334000" cy="2370666"/>
            <wp:effectExtent b="0" l="0" r="0" t="0"/>
            <wp:docPr descr="Figure 4: Frequency of the major class of ornaments at Kiwulan. Frequency represents artefact counts" title="" id="1" name="Picture"/>
            <a:graphic>
              <a:graphicData uri="http://schemas.openxmlformats.org/drawingml/2006/picture">
                <pic:pic>
                  <pic:nvPicPr>
                    <pic:cNvPr descr="/Users/bmarwick/Desktop/kwl-ornaments/analysis/figures/plot-ornaments-count.jpg" id="0" name="Picture"/>
                    <pic:cNvPicPr>
                      <a:picLocks noChangeArrowheads="1" noChangeAspect="1"/>
                    </pic:cNvPicPr>
                  </pic:nvPicPr>
                  <pic:blipFill>
                    <a:blip r:embed="rId27"/>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4: Frequency of the major class of ornaments at Kiwulan. Frequency represents artefact counts</w:t>
      </w:r>
    </w:p>
    <w:p>
      <w:pPr>
        <w:pStyle w:val="TableCaption"/>
      </w:pPr>
      <w:r>
        <w:t xml:space="preserve">Table 2: Ornament subtype at Kiwulan. The numbers represent artefact counts</w:t>
      </w:r>
    </w:p>
    <w:tbl>
      <w:tblPr>
        <w:tblStyle w:val="Table"/>
        <w:tblW w:type="pct" w:w="0.0"/>
        <w:tblLook w:firstRow="1"/>
        <w:tblCaption w:val="Table 2: Ornament subtype at Kiwulan. The numbers represent arte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334000" cy="7176000"/>
            <wp:effectExtent b="0" l="0" r="0" t="0"/>
            <wp:docPr descr="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8"/>
                    <a:stretch>
                      <a:fillRect/>
                    </a:stretch>
                  </pic:blipFill>
                  <pic:spPr bwMode="auto">
                    <a:xfrm>
                      <a:off x="0" y="0"/>
                      <a:ext cx="5334000" cy="7176000"/>
                    </a:xfrm>
                    <a:prstGeom prst="rect">
                      <a:avLst/>
                    </a:prstGeom>
                    <a:noFill/>
                    <a:ln w="9525">
                      <a:noFill/>
                      <a:headEnd/>
                      <a:tailEnd/>
                    </a:ln>
                  </pic:spPr>
                </pic:pic>
              </a:graphicData>
            </a:graphic>
          </wp:inline>
        </w:drawing>
      </w:r>
    </w:p>
    <w:p>
      <w:pPr>
        <w:pStyle w:val="ImageCaption"/>
      </w:pPr>
      <w:r>
        <w:t xml:space="preserve">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were found in a variety of archaeological contexts including post-holes area, burials, and middens. This study focuses on 406 ornaments from 40 sampling squares located at the dwelling place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 high number of ornaments in these burials is due to the presence of bead strands or patterned bands of beads, which sometimes contains thousands of beads in an individual burial</w:t>
      </w:r>
      <w:r>
        <w:t xml:space="preserve"> </w:t>
      </w:r>
      <w:r>
        <w:t xml:space="preserve">(Chen 2007)</w:t>
      </w:r>
      <w:r>
        <w:t xml:space="preserve">. We exclude burials from this analysis because most of them date to the pre-European period (n = 26), limiting the usefulness of comparisons between the periods. In addition to 406 ornaments from dwelling place contexts and 3,173 from burial contexts, there are 27 ornaments found in midden contexts. We focus on ornaments from the dwelling place contexts (Figure</w:t>
      </w:r>
      <w:r>
        <w:t xml:space="preserve"> </w:t>
      </w:r>
      <w:r>
        <w:t xml:space="preserve">4</w:t>
      </w:r>
      <w:r>
        <w:t xml:space="preserve">, Table</w:t>
      </w:r>
      <w:r>
        <w:t xml:space="preserve"> </w:t>
      </w:r>
      <w:r>
        <w:t xml:space="preserve">2</w:t>
      </w:r>
      <w:r>
        <w:t xml:space="preserve">) because these give us the greatest spatial and temporal representation across the three time periods, and so are most informative on social inequality indicated by uneven distributions of ornaments.</w:t>
      </w:r>
    </w:p>
    <w:p>
      <w:pPr>
        <w:pStyle w:val="Heading1"/>
      </w:pPr>
      <w:bookmarkStart w:id="29" w:name="X1d9039aecbbcb44c2dfa3a9268a6c9535658f66"/>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visualisations contained in this paper is included in</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visualisations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334000" cy="1974316"/>
            <wp:effectExtent b="0" l="0" r="0" t="0"/>
            <wp:docPr descr="Figure 6: Frequency of the major ornament across different time periods." title="" id="1" name="Picture"/>
            <a:graphic>
              <a:graphicData uri="http://schemas.openxmlformats.org/drawingml/2006/picture">
                <pic:pic>
                  <pic:nvPicPr>
                    <pic:cNvPr descr="/Users/bmarwick/Desktop/kwl-ornaments/analysis/figures/plot-ornaments-count-three-periods.jpg" id="0" name="Picture"/>
                    <pic:cNvPicPr>
                      <a:picLocks noChangeArrowheads="1" noChangeAspect="1"/>
                    </pic:cNvPicPr>
                  </pic:nvPicPr>
                  <pic:blipFill>
                    <a:blip r:embed="rId31"/>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across different time periods.</w:t>
      </w:r>
    </w:p>
    <w:p>
      <w:pPr>
        <w:pStyle w:val="Heading1"/>
      </w:pPr>
      <w:bookmarkStart w:id="32" w:name="results"/>
      <w:r>
        <w:t xml:space="preserve">Results</w:t>
      </w:r>
      <w:bookmarkEnd w:id="32"/>
    </w:p>
    <w:p>
      <w:pPr>
        <w:pStyle w:val="Heading2"/>
      </w:pPr>
      <w:bookmarkStart w:id="33" w:name="Xe9b08508304d5ab66c39541369971fb4444a0c4"/>
      <w:r>
        <w:t xml:space="preserve">Changes in the frequencies of ornament types over time</w:t>
      </w:r>
      <w:bookmarkEnd w:id="33"/>
    </w:p>
    <w:p>
      <w:pPr>
        <w:pStyle w:val="FirstParagraph"/>
      </w:pPr>
      <w:r>
        <w:t xml:space="preserve">Figure</w:t>
      </w:r>
      <w:r>
        <w:t xml:space="preserve"> </w:t>
      </w:r>
      <w:r>
        <w:t xml:space="preserve">6</w:t>
      </w:r>
      <w:r>
        <w:t xml:space="preserve"> </w:t>
      </w:r>
      <w:r>
        <w:t xml:space="preserve">shows the comparison of frequencies of the major classes of ornaments for different the time periods at Kiwulan. The difference in frequencies between the three time periods reflect significant differences in the use of ornaments (chi-square = 71.82, df = 8, p-value =</w:t>
      </w:r>
      <w:r>
        <w:t xml:space="preserve"> </w:t>
      </w:r>
      <m:oMath>
        <m:r>
          <m:t>2.136325</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bmarwick/Desktop/kwl-ornaments/analysis/figures/plot-multi-types-by-period.jpg" id="0" name="Picture"/>
                    <pic:cNvPicPr>
                      <a:picLocks noChangeArrowheads="1" noChangeAspect="1"/>
                    </pic:cNvPicPr>
                  </pic:nvPicPr>
                  <pic:blipFill>
                    <a:blip r:embed="rId34"/>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7</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(1400-1900 AD). However, the glass beads found from the lower component (700-1200 AD) are mostly Indo-Pacific beads, widespread in Southeast Asian sites since 300 BC and declining during the early 2nd millennium</w:t>
      </w:r>
      <w:r>
        <w:t xml:space="preserve"> </w:t>
      </w:r>
      <w:r>
        <w:t xml:space="preserve">(Wang 2018; Francis 2002)</w:t>
      </w:r>
      <w:r>
        <w:t xml:space="preserve">.</w:t>
      </w:r>
    </w:p>
    <w:p>
      <w:pPr>
        <w:pStyle w:val="CaptionedFigure"/>
      </w:pPr>
      <w:r>
        <w:drawing>
          <wp:inline>
            <wp:extent cx="5334000" cy="1224745"/>
            <wp:effectExtent b="0" l="0" r="0" t="0"/>
            <wp:docPr descr="Figure 8: Spatial pattern of all class of ornament by time periods" title="" id="1" name="Picture"/>
            <a:graphic>
              <a:graphicData uri="http://schemas.openxmlformats.org/drawingml/2006/picture">
                <pic:pic>
                  <pic:nvPicPr>
                    <pic:cNvPr descr="/Users/bmarwick/Desktop/kwl-ornaments/analysis/figures/plot-spatial-distribution-all-ornaments-by-period.jpg" id="0" name="Picture"/>
                    <pic:cNvPicPr>
                      <a:picLocks noChangeArrowheads="1" noChangeAspect="1"/>
                    </pic:cNvPicPr>
                  </pic:nvPicPr>
                  <pic:blipFill>
                    <a:blip r:embed="rId35"/>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pattern of all class of ornament by time periods</w:t>
      </w:r>
    </w:p>
    <w:p>
      <w:pPr>
        <w:pStyle w:val="CaptionedFigure"/>
      </w:pPr>
      <w:r>
        <w:drawing>
          <wp:inline>
            <wp:extent cx="5334000" cy="3239217"/>
            <wp:effectExtent b="0" l="0" r="0" t="0"/>
            <wp:docPr descr="Figure 9: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jpg" id="0" name="Picture"/>
                    <pic:cNvPicPr>
                      <a:picLocks noChangeArrowheads="1" noChangeAspect="1"/>
                    </pic:cNvPicPr>
                  </pic:nvPicPr>
                  <pic:blipFill>
                    <a:blip r:embed="rId36"/>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pattern for ornament class by time periods, only those types with more than 5 pieces are shown here</w:t>
      </w:r>
    </w:p>
    <w:p>
      <w:pPr>
        <w:pStyle w:val="Heading2"/>
      </w:pPr>
      <w:bookmarkStart w:id="37" w:name="X144b6335b7b3596320742f35c7665fd9e0c18da"/>
      <w:r>
        <w:t xml:space="preserve">Changes in patterns of the spatial distribution of ornament types</w:t>
      </w:r>
      <w:bookmarkEnd w:id="37"/>
    </w:p>
    <w:p>
      <w:pPr>
        <w:pStyle w:val="FirstParagraph"/>
      </w:pPr>
      <w:r>
        <w:t xml:space="preserve">Figure</w:t>
      </w:r>
      <w:r>
        <w:t xml:space="preserve"> </w:t>
      </w:r>
      <w:r>
        <w:t xml:space="preserve">8</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CaptionedFigure"/>
      </w:pPr>
      <w:r>
        <w:drawing>
          <wp:inline>
            <wp:extent cx="5334000" cy="1579452"/>
            <wp:effectExtent b="0" l="0" r="0" t="0"/>
            <wp:docPr descr="Figure 10: Kernel density map for ornaments by periods. Used the bandwidth based on Silverman (1986)’s rule of thumb." title="" id="1" name="Picture"/>
            <a:graphic>
              <a:graphicData uri="http://schemas.openxmlformats.org/drawingml/2006/picture">
                <pic:pic>
                  <pic:nvPicPr>
                    <pic:cNvPr descr="/Users/bmarwick/Desktop/kwl-ornaments/analysis/figures/plot-kde-maps.jpg" id="0" name="Picture"/>
                    <pic:cNvPicPr>
                      <a:picLocks noChangeArrowheads="1" noChangeAspect="1"/>
                    </pic:cNvPicPr>
                  </pic:nvPicPr>
                  <pic:blipFill>
                    <a:blip r:embed="rId38"/>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Used the bandwidth based on Silverman (1986)’s rule of thumb.</w:t>
      </w:r>
    </w:p>
    <w:p>
      <w:pPr>
        <w:pStyle w:val="Heading2"/>
      </w:pPr>
      <w:bookmarkStart w:id="39" w:name="X66189ada9c350873661985c3a8e724a1afcfe56"/>
      <w:r>
        <w:t xml:space="preserve">Point pattern analysis of ornament distribution</w:t>
      </w:r>
      <w:bookmarkEnd w:id="39"/>
    </w:p>
    <w:p>
      <w:pPr>
        <w:pStyle w:val="FirstParagraph"/>
      </w:pPr>
      <w:r>
        <w:t xml:space="preserve">Point pattern analysis can assess whether the distribution of artefacts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because artefacts from Kiwulan lack exact piece-provance data, we assigned each ornament to a random coordinate pair in the square it was recovered from. The next step was to divide the ornaments into three time periods.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artefacts per square meter were calculated for each cell.</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the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the interpretation of intentional human activities.</w:t>
      </w:r>
    </w:p>
    <w:p>
      <w:pPr>
        <w:pStyle w:val="CaptionedFigure"/>
      </w:pPr>
      <w:r>
        <w:drawing>
          <wp:inline>
            <wp:extent cx="5334000" cy="8895022"/>
            <wp:effectExtent b="0" l="0" r="0" t="0"/>
            <wp:docPr descr="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bmarwick/Desktop/kwl-ornaments/analysis/figures/plot-kde-ann-histograms.jpg" id="0" name="Picture"/>
                    <pic:cNvPicPr>
                      <a:picLocks noChangeArrowheads="1" noChangeAspect="1"/>
                    </pic:cNvPicPr>
                  </pic:nvPicPr>
                  <pic:blipFill>
                    <a:blip r:embed="rId40"/>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artefacts in any category, likely reflecting a smaller population at Kiwulan at this time, making spatial patterns and hotspots difficult to discern with confidence. This testing reveals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1" w:name="discussion"/>
      <w:r>
        <w:t xml:space="preserve">Discussion</w:t>
      </w:r>
      <w:bookmarkEnd w:id="41"/>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results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may be related to the movement of many indigenous people moved southwards to Hualien due to population pressure caused by Han Chinese immigrants at the end of the 18th century</w:t>
      </w:r>
      <w:r>
        <w:t xml:space="preserve"> </w:t>
      </w:r>
      <w:r>
        <w:t xml:space="preserve">(Chen 2007)</w:t>
      </w:r>
      <w:r>
        <w:t xml:space="preserve">.</w:t>
      </w:r>
    </w:p>
    <w:p>
      <w:pPr>
        <w:pStyle w:val="BodyText"/>
      </w:pPr>
      <w:r>
        <w:t xml:space="preserve">Archaeological contexts show that ornaments are especially abundant in burial contexts serving as grave goods.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We may be able to interpreate Yilan social organisation as moving from corporate mode before the European arrival, to a network mode during European presence. The small number of ornaments, and less concentrated distribution during the pre-European period appears consistent with shared power and wealth of the corporate mode. The long-distance trade network introduced by Europeans resulted in the appearance of a network mode, and the emergence of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but has limited value in explaining the shifts in spatial patterns.</w:t>
      </w:r>
    </w:p>
    <w:p>
      <w:pPr>
        <w:pStyle w:val="Heading1"/>
      </w:pPr>
      <w:bookmarkStart w:id="42" w:name="conclusion"/>
      <w:r>
        <w:t xml:space="preserve">Conclusion</w:t>
      </w:r>
      <w:bookmarkEnd w:id="42"/>
    </w:p>
    <w:p>
      <w:pPr>
        <w:pStyle w:val="FirstParagraph"/>
      </w:pPr>
      <w:r>
        <w:t xml:space="preserve">Examination of the archaeological record at the peripheries of colonial activities can show how remote indeignous groups were affected by major European colonial processes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exchagne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colonisation. It also shows the agency of indigenous people to incorporate ornaments into their social system and use them in their daily lives to display or intensify status differences. Future work could extend this approach to sourcing the ornaments directly with geochemical methods, and studies of other trade goods such as ceramics. We have introduced here the corporate/network model for understanding the dynamics of social inequality at Kiwulan, and future tests of this should include analysis of pottery production and standardisation, and mortuary practices.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pPr>
        <w:pStyle w:val="Heading5"/>
      </w:pPr>
      <w:bookmarkStart w:id="44" w:name="pagebreak"/>
      <w:r>
        <w:t xml:space="preserve">pagebreak</w:t>
      </w:r>
      <w:bookmarkEnd w:id="44"/>
    </w:p>
    <w:p>
      <w:pPr>
        <w:pStyle w:val="Heading1"/>
      </w:pPr>
      <w:bookmarkStart w:id="45" w:name="references"/>
      <w:r>
        <w:t xml:space="preserve">References</w:t>
      </w:r>
      <w:bookmarkEnd w:id="45"/>
    </w:p>
    <w:bookmarkStart w:id="115" w:name="refs"/>
    <w:bookmarkStart w:id="46"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6"/>
    <w:bookmarkStart w:id="47" w:name="ref-Andrade2007"/>
    <w:p>
      <w:pPr>
        <w:pStyle w:val="Bibliography"/>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7"/>
    <w:bookmarkStart w:id="48"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8"/>
    <w:bookmarkStart w:id="49"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9"/>
    <w:bookmarkStart w:id="50"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0"/>
    <w:bookmarkStart w:id="51"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1"/>
    <w:bookmarkStart w:id="52"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2"/>
    <w:bookmarkStart w:id="53"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3"/>
    <w:bookmarkStart w:id="54"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4"/>
    <w:bookmarkStart w:id="55"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5"/>
    <w:bookmarkStart w:id="56"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6"/>
    <w:bookmarkStart w:id="57"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7"/>
    <w:bookmarkStart w:id="58" w:name="ref-Chen2011"/>
    <w:p>
      <w:pPr>
        <w:pStyle w:val="Bibliography"/>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8"/>
    <w:bookmarkStart w:id="59" w:name="ref-Chen1963"/>
    <w:p>
      <w:pPr>
        <w:pStyle w:val="Bibliography"/>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9"/>
    <w:bookmarkStart w:id="60" w:name="ref-Chen2005"/>
    <w:p>
      <w:pPr>
        <w:pStyle w:val="Bibliography"/>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0"/>
    <w:bookmarkStart w:id="61"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1"/>
    <w:bookmarkStart w:id="62" w:name="ref-Chen2007"/>
    <w:p>
      <w:pPr>
        <w:pStyle w:val="Bibliography"/>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2"/>
    <w:bookmarkStart w:id="63" w:name="ref-Cheng2008"/>
    <w:p>
      <w:pPr>
        <w:pStyle w:val="Bibliography"/>
      </w:pPr>
      <w:r>
        <w:rPr>
          <w:smallCaps/>
        </w:rPr>
        <w:t xml:space="preserve">Cheng</w:t>
      </w:r>
      <w:r>
        <w:t xml:space="preserve">, C.-F. 2008. Qi wu lan yi zhi yu she nei yi zhi chu tu bo li zhu de xiang guan yan jiu [studies of glass beads excavated from kivulan and shenei site, taiwan]. Master’s thesis.</w:t>
      </w:r>
    </w:p>
    <w:bookmarkEnd w:id="63"/>
    <w:bookmarkStart w:id="64" w:name="ref-Chiu2004"/>
    <w:p>
      <w:pPr>
        <w:pStyle w:val="Bibliography"/>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4"/>
    <w:bookmarkStart w:id="65"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5"/>
    <w:bookmarkStart w:id="66"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6"/>
    <w:bookmarkStart w:id="67"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7"/>
    <w:bookmarkStart w:id="68"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8"/>
    <w:bookmarkStart w:id="69"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9"/>
    <w:bookmarkStart w:id="70"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0"/>
    <w:bookmarkStart w:id="71"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1"/>
    <w:bookmarkStart w:id="72"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2"/>
    <w:bookmarkStart w:id="73"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3"/>
    <w:bookmarkStart w:id="74"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4"/>
    <w:bookmarkStart w:id="75"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5"/>
    <w:bookmarkStart w:id="76"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6"/>
    <w:bookmarkStart w:id="77"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77"/>
    <w:bookmarkStart w:id="78"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8"/>
    <w:bookmarkStart w:id="79" w:name="ref-Hsieh2009"/>
    <w:p>
      <w:pPr>
        <w:pStyle w:val="Bibliography"/>
      </w:pPr>
      <w:r>
        <w:rPr>
          <w:smallCaps/>
        </w:rPr>
        <w:t xml:space="preserve">Hsieh</w:t>
      </w:r>
      <w:r>
        <w:t xml:space="preserve">, E. 2009. Yi lan qi wu lan yi zhi chu tu wai lai tao ci qi zhi xiang guan yan jiu [the study of imported ceramics excavated at the ki-wu-lan site, i-lan]. Master’s thesis.</w:t>
      </w:r>
    </w:p>
    <w:bookmarkEnd w:id="79"/>
    <w:bookmarkStart w:id="80" w:name="ref-Hsieh1995"/>
    <w:p>
      <w:pPr>
        <w:pStyle w:val="Bibliography"/>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0"/>
    <w:bookmarkStart w:id="81" w:name="ref-Ino1996"/>
    <w:p>
      <w:pPr>
        <w:pStyle w:val="Bibliography"/>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1"/>
    <w:bookmarkStart w:id="8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2"/>
    <w:bookmarkStart w:id="8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3"/>
    <w:bookmarkStart w:id="84" w:name="ref-Kang2012"/>
    <w:p>
      <w:pPr>
        <w:pStyle w:val="Bibliography"/>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4"/>
    <w:bookmarkStart w:id="85" w:name="ref-Kang2016"/>
    <w:p>
      <w:pPr>
        <w:pStyle w:val="Bibliography"/>
      </w:pPr>
      <w:r>
        <w:t xml:space="preserve">— 2016.</w:t>
      </w:r>
      <w:r>
        <w:t xml:space="preserve"> </w:t>
      </w:r>
      <w:r>
        <w:rPr>
          <w:i/>
        </w:rPr>
        <w:t xml:space="preserve">Colonial imagination and local variations: The dutch east india company and the formosan austronesians</w:t>
      </w:r>
      <w:r>
        <w:t xml:space="preserve">. Lian-jing.</w:t>
      </w:r>
    </w:p>
    <w:bookmarkEnd w:id="85"/>
    <w:bookmarkStart w:id="86" w:name="ref-Ke1993"/>
    <w:p>
      <w:pPr>
        <w:pStyle w:val="Bibliography"/>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6"/>
    <w:bookmarkStart w:id="8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7"/>
    <w:bookmarkStart w:id="8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8"/>
    <w:bookmarkStart w:id="89"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9"/>
    <w:bookmarkStart w:id="90" w:name="ref-Li2014"/>
    <w:p>
      <w:pPr>
        <w:pStyle w:val="Bibliography"/>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0"/>
    <w:bookmarkStart w:id="91"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1"/>
    <w:bookmarkStart w:id="92" w:name="ref-Lin2015"/>
    <w:p>
      <w:pPr>
        <w:pStyle w:val="Bibliography"/>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2"/>
    <w:bookmarkStart w:id="93" w:name="ref-Liu2011"/>
    <w:p>
      <w:pPr>
        <w:pStyle w:val="Bibliography"/>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3"/>
    <w:bookmarkStart w:id="94"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4"/>
    <w:bookmarkStart w:id="95"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5"/>
    <w:bookmarkStart w:id="96"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6"/>
    <w:bookmarkStart w:id="97"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7"/>
    <w:bookmarkStart w:id="98" w:name="ref-Nakamura1938"/>
    <w:p>
      <w:pPr>
        <w:pStyle w:val="Bibliography"/>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8"/>
    <w:bookmarkStart w:id="99" w:name="ref-NMTH2005"/>
    <w:p>
      <w:pPr>
        <w:pStyle w:val="Bibliography"/>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99"/>
    <w:bookmarkStart w:id="101"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0">
        <w:r>
          <w:rPr>
            <w:rStyle w:val="Hyperlink"/>
          </w:rPr>
          <w:t xml:space="preserve">https://www.R-project.org</w:t>
        </w:r>
      </w:hyperlink>
      <w:r>
        <w:t xml:space="preserve">.</w:t>
      </w:r>
    </w:p>
    <w:bookmarkEnd w:id="101"/>
    <w:bookmarkStart w:id="102"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2"/>
    <w:bookmarkStart w:id="103"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3"/>
    <w:bookmarkStart w:id="104"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4"/>
    <w:bookmarkStart w:id="105"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5"/>
    <w:bookmarkStart w:id="106"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6"/>
    <w:bookmarkStart w:id="107"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7"/>
    <w:bookmarkStart w:id="108"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8"/>
    <w:bookmarkStart w:id="109"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09"/>
    <w:bookmarkStart w:id="110"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10"/>
    <w:bookmarkStart w:id="111"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1"/>
    <w:bookmarkStart w:id="112" w:name="ref-Wang2011"/>
    <w:p>
      <w:pPr>
        <w:pStyle w:val="Bibliography"/>
      </w:pPr>
      <w:r>
        <w:rPr>
          <w:smallCaps/>
        </w:rPr>
        <w:t xml:space="preserve">Wang</w:t>
      </w:r>
      <w:r>
        <w:t xml:space="preserve">, L.-Y. 2011. Yi lan qi wu lan yi zhi chu tu zhuang shi pin zhi xiang guan yan jiu [a research of ornaments excavated at ki-wu-lan site, i-lan]. Master’s thesis.</w:t>
      </w:r>
    </w:p>
    <w:bookmarkEnd w:id="112"/>
    <w:bookmarkStart w:id="113" w:name="ref-Wang2007"/>
    <w:p>
      <w:pPr>
        <w:pStyle w:val="Bibliography"/>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3"/>
    <w:bookmarkStart w:id="114" w:name="ref-Yao1996"/>
    <w:p>
      <w:pPr>
        <w:pStyle w:val="Bibliography"/>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4"/>
    <w:bookmarkEnd w:id="115"/>
    <w:p>
      <w:pPr>
        <w:pStyle w:val="Heading5"/>
      </w:pPr>
      <w:bookmarkStart w:id="116" w:name="pagebreak-1"/>
      <w:r>
        <w:t xml:space="preserve">pagebreak</w:t>
      </w:r>
      <w:bookmarkEnd w:id="116"/>
    </w:p>
    <w:p>
      <w:pPr>
        <w:pStyle w:val="Heading3"/>
      </w:pPr>
      <w:bookmarkStart w:id="117" w:name="colophon"/>
      <w:r>
        <w:t xml:space="preserve">Colophon</w:t>
      </w:r>
      <w:bookmarkEnd w:id="117"/>
    </w:p>
    <w:p>
      <w:pPr>
        <w:pStyle w:val="FirstParagraph"/>
      </w:pPr>
      <w:r>
        <w:t xml:space="preserve">This report was generated on 2019-12-11 23:09:50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3.6.0 (2019-04-26)</w:t>
      </w:r>
      <w:r>
        <w:br/>
      </w:r>
      <w:r>
        <w:rPr>
          <w:rStyle w:val="VerbatimChar"/>
        </w:rPr>
        <w:t xml:space="preserve">#&gt;  os       macOS Mojave 10.14.6        </w:t>
      </w:r>
      <w:r>
        <w:br/>
      </w:r>
      <w:r>
        <w:rPr>
          <w:rStyle w:val="VerbatimChar"/>
        </w:rPr>
        <w:t xml:space="preserve">#&gt;  system   x86_64, darwin15.6.0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2019-12-11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assertthat    0.2.1   2019-03-21 [?] CRAN (R 3.6.0)</w:t>
      </w:r>
      <w:r>
        <w:br/>
      </w:r>
      <w:r>
        <w:rPr>
          <w:rStyle w:val="VerbatimChar"/>
        </w:rPr>
        <w:t xml:space="preserve">#&gt;    backports     1.1.5   2019-10-02 [1] CRAN (R 3.6.0)</w:t>
      </w:r>
      <w:r>
        <w:br/>
      </w:r>
      <w:r>
        <w:rPr>
          <w:rStyle w:val="VerbatimChar"/>
        </w:rPr>
        <w:t xml:space="preserve">#&gt;    bookdown      0.14    2019-10-01 [2] CRAN (R 3.6.0)</w:t>
      </w:r>
      <w:r>
        <w:br/>
      </w:r>
      <w:r>
        <w:rPr>
          <w:rStyle w:val="VerbatimChar"/>
        </w:rPr>
        <w:t xml:space="preserve">#&gt;    callr         3.3.2   2019-09-22 [2] CRAN (R 3.6.0)</w:t>
      </w:r>
      <w:r>
        <w:br/>
      </w:r>
      <w:r>
        <w:rPr>
          <w:rStyle w:val="VerbatimChar"/>
        </w:rPr>
        <w:t xml:space="preserve">#&gt;    cli           2.0.0   2019-12-09 [1] CRAN (R 3.6.0)</w:t>
      </w:r>
      <w:r>
        <w:br/>
      </w:r>
      <w:r>
        <w:rPr>
          <w:rStyle w:val="VerbatimChar"/>
        </w:rPr>
        <w:t xml:space="preserve">#&gt;  P crayon        1.3.4   2017-09-16 [?] CRAN (R 3.6.0)</w:t>
      </w:r>
      <w:r>
        <w:br/>
      </w:r>
      <w:r>
        <w:rPr>
          <w:rStyle w:val="VerbatimChar"/>
        </w:rPr>
        <w:t xml:space="preserve">#&gt;    desc          1.2.0   2018-05-01 [2] CRAN (R 3.6.0)</w:t>
      </w:r>
      <w:r>
        <w:br/>
      </w:r>
      <w:r>
        <w:rPr>
          <w:rStyle w:val="VerbatimChar"/>
        </w:rPr>
        <w:t xml:space="preserve">#&gt;    devtools      2.2.1   2019-09-24 [2] CRAN (R 3.6.0)</w:t>
      </w:r>
      <w:r>
        <w:br/>
      </w:r>
      <w:r>
        <w:rPr>
          <w:rStyle w:val="VerbatimChar"/>
        </w:rPr>
        <w:t xml:space="preserve">#&gt;    digest        0.6.23  2019-11-23 [1] CRAN (R 3.6.0)</w:t>
      </w:r>
      <w:r>
        <w:br/>
      </w:r>
      <w:r>
        <w:rPr>
          <w:rStyle w:val="VerbatimChar"/>
        </w:rPr>
        <w:t xml:space="preserve">#&gt;    ellipsis      0.3.0   2019-09-20 [1] CRAN (R 3.6.0)</w:t>
      </w:r>
      <w:r>
        <w:br/>
      </w:r>
      <w:r>
        <w:rPr>
          <w:rStyle w:val="VerbatimChar"/>
        </w:rPr>
        <w:t xml:space="preserve">#&gt;    evaluate      0.14    2019-05-28 [2] CRAN (R 3.6.0)</w:t>
      </w:r>
      <w:r>
        <w:br/>
      </w:r>
      <w:r>
        <w:rPr>
          <w:rStyle w:val="VerbatimChar"/>
        </w:rPr>
        <w:t xml:space="preserve">#&gt;  P fansi         0.4.0   2018-10-05 [?] CRAN (R 3.6.0)</w:t>
      </w:r>
      <w:r>
        <w:br/>
      </w:r>
      <w:r>
        <w:rPr>
          <w:rStyle w:val="VerbatimChar"/>
        </w:rPr>
        <w:t xml:space="preserve">#&gt;    fs            1.3.1   2019-05-06 [2] CRAN (R 3.6.0)</w:t>
      </w:r>
      <w:r>
        <w:br/>
      </w:r>
      <w:r>
        <w:rPr>
          <w:rStyle w:val="VerbatimChar"/>
        </w:rPr>
        <w:t xml:space="preserve">#&gt;  P glue          1.3.1   2019-03-12 [?] CRAN (R 3.6.0)</w:t>
      </w:r>
      <w:r>
        <w:br/>
      </w:r>
      <w:r>
        <w:rPr>
          <w:rStyle w:val="VerbatimChar"/>
        </w:rPr>
        <w:t xml:space="preserve">#&gt;    htmltools     0.4.0   2019-10-04 [2] CRAN (R 3.6.0)</w:t>
      </w:r>
      <w:r>
        <w:br/>
      </w:r>
      <w:r>
        <w:rPr>
          <w:rStyle w:val="VerbatimChar"/>
        </w:rPr>
        <w:t xml:space="preserve">#&gt;    knitr         1.26    2019-11-12 [2] CRAN (R 3.6.0)</w:t>
      </w:r>
      <w:r>
        <w:br/>
      </w:r>
      <w:r>
        <w:rPr>
          <w:rStyle w:val="VerbatimChar"/>
        </w:rPr>
        <w:t xml:space="preserve">#&gt;  P magrittr      1.5     2014-11-22 [?] CRAN (R 3.6.0)</w:t>
      </w:r>
      <w:r>
        <w:br/>
      </w:r>
      <w:r>
        <w:rPr>
          <w:rStyle w:val="VerbatimChar"/>
        </w:rPr>
        <w:t xml:space="preserve">#&gt;    memoise       1.1.0   2017-04-21 [2] CRAN (R 3.6.0)</w:t>
      </w:r>
      <w:r>
        <w:br/>
      </w:r>
      <w:r>
        <w:rPr>
          <w:rStyle w:val="VerbatimChar"/>
        </w:rPr>
        <w:t xml:space="preserve">#&gt;    pkgbuild      1.0.6   2019-10-09 [2] CRAN (R 3.6.0)</w:t>
      </w:r>
      <w:r>
        <w:br/>
      </w:r>
      <w:r>
        <w:rPr>
          <w:rStyle w:val="VerbatimChar"/>
        </w:rPr>
        <w:t xml:space="preserve">#&gt;    pkgload       1.0.2   2018-10-29 [2] CRAN (R 3.6.0)</w:t>
      </w:r>
      <w:r>
        <w:br/>
      </w:r>
      <w:r>
        <w:rPr>
          <w:rStyle w:val="VerbatimChar"/>
        </w:rPr>
        <w:t xml:space="preserve">#&gt;    prettyunits   1.0.2   2015-07-13 [2] CRAN (R 3.6.0)</w:t>
      </w:r>
      <w:r>
        <w:br/>
      </w:r>
      <w:r>
        <w:rPr>
          <w:rStyle w:val="VerbatimChar"/>
        </w:rPr>
        <w:t xml:space="preserve">#&gt;    processx      3.4.1   2019-07-18 [2] CRAN (R 3.6.0)</w:t>
      </w:r>
      <w:r>
        <w:br/>
      </w:r>
      <w:r>
        <w:rPr>
          <w:rStyle w:val="VerbatimChar"/>
        </w:rPr>
        <w:t xml:space="preserve">#&gt;    ps            1.3.0   2018-12-21 [2] CRAN (R 3.6.0)</w:t>
      </w:r>
      <w:r>
        <w:br/>
      </w:r>
      <w:r>
        <w:rPr>
          <w:rStyle w:val="VerbatimChar"/>
        </w:rPr>
        <w:t xml:space="preserve">#&gt;    R6            2.4.1   2019-11-12 [1] CRAN (R 3.6.0)</w:t>
      </w:r>
      <w:r>
        <w:br/>
      </w:r>
      <w:r>
        <w:rPr>
          <w:rStyle w:val="VerbatimChar"/>
        </w:rPr>
        <w:t xml:space="preserve">#&gt;    Rcpp          1.0.3   2019-11-08 [1] CRAN (R 3.6.0)</w:t>
      </w:r>
      <w:r>
        <w:br/>
      </w:r>
      <w:r>
        <w:rPr>
          <w:rStyle w:val="VerbatimChar"/>
        </w:rPr>
        <w:t xml:space="preserve">#&gt;    remotes       2.1.0   2019-06-24 [2] CRAN (R 3.6.0)</w:t>
      </w:r>
      <w:r>
        <w:br/>
      </w:r>
      <w:r>
        <w:rPr>
          <w:rStyle w:val="VerbatimChar"/>
        </w:rPr>
        <w:t xml:space="preserve">#&gt;    rlang         0.4.2   2019-11-23 [1] CRAN (R 3.6.0)</w:t>
      </w:r>
      <w:r>
        <w:br/>
      </w:r>
      <w:r>
        <w:rPr>
          <w:rStyle w:val="VerbatimChar"/>
        </w:rPr>
        <w:t xml:space="preserve">#&gt;    rmarkdown     1.16    2019-10-01 [2] CRAN (R 3.6.0)</w:t>
      </w:r>
      <w:r>
        <w:br/>
      </w:r>
      <w:r>
        <w:rPr>
          <w:rStyle w:val="VerbatimChar"/>
        </w:rPr>
        <w:t xml:space="preserve">#&gt;    rprojroot     1.3-2   2018-01-03 [2] CRAN (R 3.6.0)</w:t>
      </w:r>
      <w:r>
        <w:br/>
      </w:r>
      <w:r>
        <w:rPr>
          <w:rStyle w:val="VerbatimChar"/>
        </w:rPr>
        <w:t xml:space="preserve">#&gt;    sessioninfo   1.1.1   2018-11-05 [2] CRAN (R 3.6.0)</w:t>
      </w:r>
      <w:r>
        <w:br/>
      </w:r>
      <w:r>
        <w:rPr>
          <w:rStyle w:val="VerbatimChar"/>
        </w:rPr>
        <w:t xml:space="preserve">#&gt;  P stringi       1.4.3   2019-03-12 [?] CRAN (R 3.6.0)</w:t>
      </w:r>
      <w:r>
        <w:br/>
      </w:r>
      <w:r>
        <w:rPr>
          <w:rStyle w:val="VerbatimChar"/>
        </w:rPr>
        <w:t xml:space="preserve">#&gt;  P stringr       1.4.0   2019-02-10 [?] CRAN (R 3.6.0)</w:t>
      </w:r>
      <w:r>
        <w:br/>
      </w:r>
      <w:r>
        <w:rPr>
          <w:rStyle w:val="VerbatimChar"/>
        </w:rPr>
        <w:t xml:space="preserve">#&gt;    testthat      2.2.1   2019-07-25 [2] CRAN (R 3.6.0)</w:t>
      </w:r>
      <w:r>
        <w:br/>
      </w:r>
      <w:r>
        <w:rPr>
          <w:rStyle w:val="VerbatimChar"/>
        </w:rPr>
        <w:t xml:space="preserve">#&gt;    usethis       1.5.1   2019-07-04 [2] CRAN (R 3.6.0)</w:t>
      </w:r>
      <w:r>
        <w:br/>
      </w:r>
      <w:r>
        <w:rPr>
          <w:rStyle w:val="VerbatimChar"/>
        </w:rPr>
        <w:t xml:space="preserve">#&gt;  P withr         2.1.2   2018-03-15 [?] CRAN (R 3.6.0)</w:t>
      </w:r>
      <w:r>
        <w:br/>
      </w:r>
      <w:r>
        <w:rPr>
          <w:rStyle w:val="VerbatimChar"/>
        </w:rPr>
        <w:t xml:space="preserve">#&gt;    xfun          0.11    2019-11-12 [2] CRAN (R 3.6.0)</w:t>
      </w:r>
      <w:r>
        <w:br/>
      </w:r>
      <w:r>
        <w:rPr>
          <w:rStyle w:val="VerbatimChar"/>
        </w:rPr>
        <w:t xml:space="preserve">#&gt;    yaml          2.2.0   2018-07-25 [2] CRAN (R 3.6.0)</w:t>
      </w:r>
      <w:r>
        <w:br/>
      </w:r>
      <w:r>
        <w:rPr>
          <w:rStyle w:val="VerbatimChar"/>
        </w:rPr>
        <w:t xml:space="preserve">#&gt; </w:t>
      </w:r>
      <w:r>
        <w:br/>
      </w:r>
      <w:r>
        <w:rPr>
          <w:rStyle w:val="VerbatimChar"/>
        </w:rPr>
        <w:t xml:space="preserve">#&gt; [1] /Users/bmarwick/Desktop/kwl-ornaments/renv/library/R-3.6/x86_64-apple-darwin15.6.0</w:t>
      </w:r>
      <w:r>
        <w:br/>
      </w:r>
      <w:r>
        <w:rPr>
          <w:rStyle w:val="VerbatimChar"/>
        </w:rPr>
        <w:t xml:space="preserve">#&gt; [2] /Library/Frameworks/R.framework/Versions/3.6/Resources/library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r>
      <w:r>
        <w:rPr>
          <w:rStyle w:val="VerbatimChar"/>
        </w:rPr>
        <w:t xml:space="preserve">#&gt; Remote:   master @ origin (https://github.com/LiYingWang/kwl-ornaments)</w:t>
      </w:r>
      <w:r>
        <w:br/>
      </w:r>
      <w:r>
        <w:rPr>
          <w:rStyle w:val="VerbatimChar"/>
        </w:rPr>
        <w:t xml:space="preserve">#&gt; Head:     [5f70f66] 2019-12-10: merge conflict</w:t>
      </w:r>
    </w:p>
    <w:p>
      <w:pPr>
        <w:pStyle w:val="FirstParagraph"/>
      </w:pPr>
      <w:r>
        <w:t xml:space="preserve">Word count: 5264</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28" Target="media/rId28.pn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34" Target="media/rId34.jpg" /><Relationship Type="http://schemas.openxmlformats.org/officeDocument/2006/relationships/image" Id="rId31" Target="media/rId31.jpg" /><Relationship Type="http://schemas.openxmlformats.org/officeDocument/2006/relationships/image" Id="rId27" Target="media/rId27.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and cultural practices in northeastern Taiwan before and after European colonial period</dc:title>
  <dc:creator>Li-Ying Wang; Ben Marwick</dc:creator>
  <cp:keywords/>
  <dcterms:created xsi:type="dcterms:W3CDTF">2019-12-12T07:10:01Z</dcterms:created>
  <dcterms:modified xsi:type="dcterms:W3CDTF">2019-12-12T07:10:01Z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(1400-1900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a colonial influence. Ornaments give insights into the increasing social inequality stimulated by European colonisation,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11 December, 2019</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